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C8" w:rsidRDefault="009A1DC8" w:rsidP="009A1DC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</w:t>
      </w:r>
      <w:r w:rsidR="00932B60">
        <w:rPr>
          <w:rFonts w:ascii="Times New Roman" w:hAnsi="Times New Roman" w:cs="Times New Roman"/>
          <w:color w:val="000000" w:themeColor="text1"/>
          <w:sz w:val="28"/>
          <w:szCs w:val="28"/>
        </w:rPr>
        <w:t>ГРАММЫ</w:t>
      </w:r>
      <w:r w:rsidRPr="009A1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ОСВОЕНИЯ СОДЕРЖАНИЯ ПРОГРАММЫ</w:t>
      </w:r>
    </w:p>
    <w:p w:rsidR="009A1DC8" w:rsidRPr="009A1DC8" w:rsidRDefault="000F56B0" w:rsidP="009A1DC8">
      <w:pPr>
        <w:jc w:val="center"/>
      </w:pPr>
      <w:r>
        <w:t>2017-2018</w:t>
      </w:r>
      <w:r w:rsidR="009A1DC8">
        <w:t>гг.</w:t>
      </w:r>
    </w:p>
    <w:p w:rsidR="009A2654" w:rsidRDefault="00932B60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 Физическое развитие»</w:t>
      </w:r>
      <w:r w:rsidR="00BD3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6B0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="0042562F">
        <w:rPr>
          <w:rFonts w:ascii="Times New Roman" w:hAnsi="Times New Roman" w:cs="Times New Roman"/>
          <w:b/>
          <w:sz w:val="28"/>
          <w:szCs w:val="28"/>
        </w:rPr>
        <w:t>группа</w:t>
      </w:r>
      <w:r w:rsidR="003C6FD5">
        <w:rPr>
          <w:noProof/>
        </w:rPr>
        <w:drawing>
          <wp:inline distT="0" distB="0" distL="0" distR="0">
            <wp:extent cx="5445125" cy="2798618"/>
            <wp:effectExtent l="19050" t="0" r="22225" b="173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09A4" w:rsidRDefault="00DF09A4" w:rsidP="00DF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 Физическое развитие» </w:t>
      </w:r>
      <w:r w:rsidR="000F56B0">
        <w:rPr>
          <w:rFonts w:ascii="Times New Roman" w:hAnsi="Times New Roman" w:cs="Times New Roman"/>
          <w:b/>
          <w:sz w:val="28"/>
          <w:szCs w:val="28"/>
        </w:rPr>
        <w:t>подготовительная  группа</w:t>
      </w:r>
    </w:p>
    <w:p w:rsidR="00DF09A4" w:rsidRDefault="00DF09A4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45125" cy="2798618"/>
            <wp:effectExtent l="19050" t="0" r="22225" b="173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09A4" w:rsidRDefault="00932B60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9A4" w:rsidRDefault="00DF09A4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2F" w:rsidRDefault="0042562F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2DE" w:rsidRDefault="00932B60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 w:rsidR="006D52DE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562F" w:rsidRDefault="0042562F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действие, конструктивн</w:t>
      </w:r>
      <w:r w:rsidR="009D4DD0">
        <w:rPr>
          <w:rFonts w:ascii="Times New Roman" w:hAnsi="Times New Roman" w:cs="Times New Roman"/>
          <w:b/>
          <w:sz w:val="28"/>
          <w:szCs w:val="28"/>
        </w:rPr>
        <w:t>о-модульная деятельность старшая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</w:p>
    <w:p w:rsidR="009A2654" w:rsidRDefault="004A15D9" w:rsidP="006D5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B55F49A" wp14:editId="3B9594EF">
            <wp:extent cx="5425786" cy="2918865"/>
            <wp:effectExtent l="19050" t="0" r="22514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4256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B60" w:rsidRDefault="0042562F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2562F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42562F">
        <w:rPr>
          <w:rFonts w:ascii="Times New Roman" w:hAnsi="Times New Roman" w:cs="Times New Roman"/>
          <w:b/>
          <w:sz w:val="28"/>
          <w:szCs w:val="28"/>
        </w:rPr>
        <w:t xml:space="preserve"> действие, конструктивно-модульная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1AB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DF09A4" w:rsidRDefault="00DF09A4" w:rsidP="00DF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25786" cy="2918865"/>
            <wp:effectExtent l="19050" t="0" r="22514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DF09A4">
      <w:pPr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6372E5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 w:rsidR="00932B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32B60">
        <w:rPr>
          <w:rFonts w:ascii="Times New Roman" w:hAnsi="Times New Roman" w:cs="Times New Roman"/>
          <w:b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34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1F0">
        <w:rPr>
          <w:rFonts w:ascii="Times New Roman" w:hAnsi="Times New Roman" w:cs="Times New Roman"/>
          <w:b/>
          <w:sz w:val="28"/>
          <w:szCs w:val="28"/>
        </w:rPr>
        <w:t>старшая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0E9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33613" cy="2790363"/>
            <wp:effectExtent l="19050" t="0" r="24187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DF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</w:t>
      </w:r>
      <w:r w:rsidR="006372E5">
        <w:rPr>
          <w:rFonts w:ascii="Times New Roman" w:hAnsi="Times New Roman" w:cs="Times New Roman"/>
          <w:b/>
          <w:sz w:val="28"/>
          <w:szCs w:val="28"/>
        </w:rPr>
        <w:t>область «Р</w:t>
      </w:r>
      <w:r w:rsidR="006C25EB">
        <w:rPr>
          <w:rFonts w:ascii="Times New Roman" w:hAnsi="Times New Roman" w:cs="Times New Roman"/>
          <w:b/>
          <w:sz w:val="28"/>
          <w:szCs w:val="28"/>
        </w:rPr>
        <w:t>ечевое развитие</w:t>
      </w:r>
      <w:r w:rsidR="006372E5">
        <w:rPr>
          <w:rFonts w:ascii="Times New Roman" w:hAnsi="Times New Roman" w:cs="Times New Roman"/>
          <w:b/>
          <w:sz w:val="28"/>
          <w:szCs w:val="28"/>
        </w:rPr>
        <w:t>»</w:t>
      </w:r>
      <w:r w:rsidR="006C2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1F0"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D12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32B60" w:rsidRDefault="00DF09A4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A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3613" cy="2790363"/>
            <wp:effectExtent l="19050" t="0" r="24187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60" w:rsidRDefault="00932B60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A4" w:rsidRDefault="00DF09A4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62BE" w:rsidRDefault="00512EE1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EE1">
        <w:rPr>
          <w:rFonts w:ascii="Times New Roman" w:hAnsi="Times New Roman" w:cs="Times New Roman"/>
          <w:b/>
          <w:sz w:val="28"/>
          <w:szCs w:val="28"/>
        </w:rPr>
        <w:t xml:space="preserve">Художественно -  эстетическое развитие </w:t>
      </w:r>
      <w:r w:rsidR="00D12787">
        <w:rPr>
          <w:rFonts w:ascii="Times New Roman" w:hAnsi="Times New Roman" w:cs="Times New Roman"/>
          <w:b/>
          <w:sz w:val="28"/>
          <w:szCs w:val="28"/>
        </w:rPr>
        <w:t>старша</w:t>
      </w:r>
      <w:r w:rsidR="006372E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DF09A4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A2654" w:rsidRPr="00932B60" w:rsidRDefault="00CE4268" w:rsidP="00932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08485" cy="3075709"/>
            <wp:effectExtent l="19050" t="0" r="25515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4268" w:rsidRDefault="00512EE1" w:rsidP="00DF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EE1">
        <w:rPr>
          <w:rFonts w:ascii="Times New Roman" w:hAnsi="Times New Roman" w:cs="Times New Roman"/>
          <w:b/>
          <w:sz w:val="28"/>
          <w:szCs w:val="28"/>
        </w:rPr>
        <w:t xml:space="preserve">Художественно -  эстетическое развитие </w:t>
      </w:r>
      <w:r w:rsidR="00D12787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 w:rsidR="00DF09A4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9A2654" w:rsidRPr="00DF09A4" w:rsidRDefault="00CE4268" w:rsidP="00DF0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308485" cy="3075709"/>
            <wp:effectExtent l="19050" t="0" r="25515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62BE" w:rsidRDefault="000E62BE" w:rsidP="003C6FD5">
      <w:pPr>
        <w:keepNext/>
        <w:rPr>
          <w:rFonts w:ascii="Times New Roman" w:hAnsi="Times New Roman" w:cs="Times New Roman"/>
          <w:sz w:val="28"/>
          <w:szCs w:val="28"/>
        </w:rPr>
      </w:pPr>
    </w:p>
    <w:p w:rsidR="00932B60" w:rsidRPr="00D75D32" w:rsidRDefault="00BD337F" w:rsidP="003C6FD5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D75D32">
        <w:rPr>
          <w:rFonts w:ascii="Times New Roman" w:hAnsi="Times New Roman" w:cs="Times New Roman"/>
          <w:b/>
          <w:sz w:val="28"/>
          <w:szCs w:val="28"/>
        </w:rPr>
        <w:t>Обра</w:t>
      </w:r>
      <w:r w:rsidR="00B466C5" w:rsidRPr="00D75D32">
        <w:rPr>
          <w:rFonts w:ascii="Times New Roman" w:hAnsi="Times New Roman" w:cs="Times New Roman"/>
          <w:b/>
          <w:sz w:val="28"/>
          <w:szCs w:val="28"/>
        </w:rPr>
        <w:t>зовательная область «</w:t>
      </w:r>
      <w:r w:rsidR="000E62BE" w:rsidRPr="00D75D3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B466C5" w:rsidRPr="00D75D32">
        <w:rPr>
          <w:rFonts w:ascii="Times New Roman" w:hAnsi="Times New Roman" w:cs="Times New Roman"/>
          <w:b/>
          <w:sz w:val="28"/>
          <w:szCs w:val="28"/>
        </w:rPr>
        <w:t>»</w:t>
      </w:r>
      <w:r w:rsidR="00DF09A4" w:rsidRPr="00D75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787">
        <w:rPr>
          <w:rFonts w:ascii="Times New Roman" w:hAnsi="Times New Roman" w:cs="Times New Roman"/>
          <w:b/>
          <w:sz w:val="28"/>
          <w:szCs w:val="28"/>
        </w:rPr>
        <w:t>старша</w:t>
      </w:r>
      <w:r w:rsidR="00B466C5" w:rsidRPr="00D75D3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DF09A4" w:rsidRPr="00D75D3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0E62BE" w:rsidRDefault="000E62BE" w:rsidP="003C6FD5">
      <w:pPr>
        <w:keepNext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3200400"/>
            <wp:effectExtent l="57150" t="0" r="57150" b="762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09A4" w:rsidRPr="00D75D32" w:rsidRDefault="00DF09A4" w:rsidP="00DF09A4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D75D32">
        <w:rPr>
          <w:rFonts w:ascii="Times New Roman" w:hAnsi="Times New Roman" w:cs="Times New Roman"/>
          <w:b/>
          <w:sz w:val="28"/>
          <w:szCs w:val="28"/>
        </w:rPr>
        <w:t>Обра</w:t>
      </w:r>
      <w:r w:rsidR="00B466C5" w:rsidRPr="00D75D32">
        <w:rPr>
          <w:rFonts w:ascii="Times New Roman" w:hAnsi="Times New Roman" w:cs="Times New Roman"/>
          <w:b/>
          <w:sz w:val="28"/>
          <w:szCs w:val="28"/>
        </w:rPr>
        <w:t>зовательная область «</w:t>
      </w:r>
      <w:r w:rsidRPr="00D75D3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="00B466C5" w:rsidRPr="00D75D32">
        <w:rPr>
          <w:rFonts w:ascii="Times New Roman" w:hAnsi="Times New Roman" w:cs="Times New Roman"/>
          <w:b/>
          <w:sz w:val="28"/>
          <w:szCs w:val="28"/>
        </w:rPr>
        <w:t>»</w:t>
      </w:r>
      <w:r w:rsidRPr="00D75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787">
        <w:rPr>
          <w:rFonts w:ascii="Times New Roman" w:hAnsi="Times New Roman" w:cs="Times New Roman"/>
          <w:b/>
          <w:sz w:val="28"/>
          <w:szCs w:val="28"/>
        </w:rPr>
        <w:t xml:space="preserve">подготовительная </w:t>
      </w:r>
      <w:r w:rsidRPr="00D75D32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DF09A4" w:rsidRPr="000E62BE" w:rsidRDefault="00DF09A4" w:rsidP="003C6FD5">
      <w:pPr>
        <w:keepNext/>
        <w:rPr>
          <w:rFonts w:ascii="Times New Roman" w:hAnsi="Times New Roman" w:cs="Times New Roman"/>
          <w:sz w:val="28"/>
          <w:szCs w:val="28"/>
        </w:rPr>
      </w:pPr>
      <w:r w:rsidRPr="00DF09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57150" t="0" r="57150" b="7620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DF09A4" w:rsidRPr="000E62BE" w:rsidSect="001C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5"/>
    <w:rsid w:val="000E62BE"/>
    <w:rsid w:val="000F175C"/>
    <w:rsid w:val="000F2A97"/>
    <w:rsid w:val="000F56B0"/>
    <w:rsid w:val="001010AA"/>
    <w:rsid w:val="0010266F"/>
    <w:rsid w:val="00191F0B"/>
    <w:rsid w:val="0019208E"/>
    <w:rsid w:val="001A1F7C"/>
    <w:rsid w:val="001C2120"/>
    <w:rsid w:val="001F0995"/>
    <w:rsid w:val="00377603"/>
    <w:rsid w:val="003A1717"/>
    <w:rsid w:val="003C6FD5"/>
    <w:rsid w:val="0042562F"/>
    <w:rsid w:val="004541F0"/>
    <w:rsid w:val="004A15D9"/>
    <w:rsid w:val="00512EE1"/>
    <w:rsid w:val="006372E5"/>
    <w:rsid w:val="006C25EB"/>
    <w:rsid w:val="006D52DE"/>
    <w:rsid w:val="007711AB"/>
    <w:rsid w:val="007A479C"/>
    <w:rsid w:val="007A7AC7"/>
    <w:rsid w:val="007E07EC"/>
    <w:rsid w:val="00845D21"/>
    <w:rsid w:val="00854355"/>
    <w:rsid w:val="008B3D44"/>
    <w:rsid w:val="00932B60"/>
    <w:rsid w:val="009A1DC8"/>
    <w:rsid w:val="009A2654"/>
    <w:rsid w:val="009C39A6"/>
    <w:rsid w:val="009D4DD0"/>
    <w:rsid w:val="00A26A4B"/>
    <w:rsid w:val="00A5443D"/>
    <w:rsid w:val="00AF086E"/>
    <w:rsid w:val="00B466C5"/>
    <w:rsid w:val="00BD337F"/>
    <w:rsid w:val="00C340E9"/>
    <w:rsid w:val="00CA0E47"/>
    <w:rsid w:val="00CC5DDB"/>
    <w:rsid w:val="00CE4268"/>
    <w:rsid w:val="00D12787"/>
    <w:rsid w:val="00D75D32"/>
    <w:rsid w:val="00DC363C"/>
    <w:rsid w:val="00DC3BE2"/>
    <w:rsid w:val="00DD7ACC"/>
    <w:rsid w:val="00DE7407"/>
    <w:rsid w:val="00DF09A4"/>
    <w:rsid w:val="00E36301"/>
    <w:rsid w:val="00F76792"/>
    <w:rsid w:val="00FE5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D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C6F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D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C6F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67E-2"/>
          <c:w val="0.89418890347040036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48512"/>
        <c:axId val="68604992"/>
      </c:barChart>
      <c:catAx>
        <c:axId val="58048512"/>
        <c:scaling>
          <c:orientation val="minMax"/>
        </c:scaling>
        <c:delete val="0"/>
        <c:axPos val="b"/>
        <c:majorTickMark val="out"/>
        <c:minorTickMark val="none"/>
        <c:tickLblPos val="nextTo"/>
        <c:crossAx val="68604992"/>
        <c:crosses val="autoZero"/>
        <c:auto val="1"/>
        <c:lblAlgn val="ctr"/>
        <c:lblOffset val="100"/>
        <c:noMultiLvlLbl val="0"/>
      </c:catAx>
      <c:valAx>
        <c:axId val="68604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048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13"/>
          <c:y val="0.25347456567929089"/>
          <c:w val="0.42777668416448023"/>
          <c:h val="0.540669603799526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81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2.5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49536"/>
        <c:axId val="105054208"/>
      </c:barChart>
      <c:catAx>
        <c:axId val="5804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054208"/>
        <c:crosses val="autoZero"/>
        <c:auto val="1"/>
        <c:lblAlgn val="ctr"/>
        <c:lblOffset val="100"/>
        <c:noMultiLvlLbl val="0"/>
      </c:catAx>
      <c:valAx>
        <c:axId val="10505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04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35"/>
          <c:y val="0.25347456567929111"/>
          <c:w val="0.4277766841644805"/>
          <c:h val="0.5406696037995262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88E-2"/>
          <c:w val="0.89418890347040003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d\-mmm</c:formatCode>
                <c:ptCount val="4"/>
                <c:pt idx="0" formatCode="General">
                  <c:v>2.8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2.8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051072"/>
        <c:axId val="68606720"/>
      </c:barChart>
      <c:catAx>
        <c:axId val="58051072"/>
        <c:scaling>
          <c:orientation val="minMax"/>
        </c:scaling>
        <c:delete val="0"/>
        <c:axPos val="b"/>
        <c:majorTickMark val="out"/>
        <c:minorTickMark val="none"/>
        <c:tickLblPos val="nextTo"/>
        <c:crossAx val="68606720"/>
        <c:crosses val="autoZero"/>
        <c:auto val="1"/>
        <c:lblAlgn val="ctr"/>
        <c:lblOffset val="100"/>
        <c:noMultiLvlLbl val="0"/>
      </c:catAx>
      <c:valAx>
        <c:axId val="6860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05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35"/>
          <c:y val="0.25347456567929111"/>
          <c:w val="0.4277766841644805"/>
          <c:h val="0.5406696037995262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22753320332964"/>
          <c:y val="4.4057548121583384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1.9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48384"/>
        <c:axId val="103211584"/>
      </c:barChart>
      <c:catAx>
        <c:axId val="103248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11584"/>
        <c:crosses val="autoZero"/>
        <c:auto val="1"/>
        <c:lblAlgn val="ctr"/>
        <c:lblOffset val="100"/>
        <c:noMultiLvlLbl val="0"/>
      </c:catAx>
      <c:valAx>
        <c:axId val="103211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4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35"/>
          <c:y val="0.25347456567929111"/>
          <c:w val="0.4277766841644805"/>
          <c:h val="0.5406696037995262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22753320332964"/>
          <c:y val="4.4057548121583384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2.7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608384"/>
        <c:axId val="103213312"/>
      </c:barChart>
      <c:catAx>
        <c:axId val="102608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13312"/>
        <c:crosses val="autoZero"/>
        <c:auto val="1"/>
        <c:lblAlgn val="ctr"/>
        <c:lblOffset val="100"/>
        <c:noMultiLvlLbl val="0"/>
      </c:catAx>
      <c:valAx>
        <c:axId val="10321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60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35"/>
          <c:y val="0.25347456567929111"/>
          <c:w val="0.4277766841644805"/>
          <c:h val="0.5406696037995262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46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48896"/>
        <c:axId val="103215040"/>
      </c:barChart>
      <c:catAx>
        <c:axId val="103248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15040"/>
        <c:crosses val="autoZero"/>
        <c:auto val="1"/>
        <c:lblAlgn val="ctr"/>
        <c:lblOffset val="100"/>
        <c:noMultiLvlLbl val="0"/>
      </c:catAx>
      <c:valAx>
        <c:axId val="10321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48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13"/>
          <c:y val="0.25347456567929089"/>
          <c:w val="0.42777668416448023"/>
          <c:h val="0.540669603799526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81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1.3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50432"/>
        <c:axId val="103217344"/>
      </c:barChart>
      <c:catAx>
        <c:axId val="10325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17344"/>
        <c:crosses val="autoZero"/>
        <c:auto val="1"/>
        <c:lblAlgn val="ctr"/>
        <c:lblOffset val="100"/>
        <c:noMultiLvlLbl val="0"/>
      </c:catAx>
      <c:valAx>
        <c:axId val="10321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50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35"/>
          <c:y val="0.25347456567929111"/>
          <c:w val="0.4277766841644805"/>
          <c:h val="0.5406696037995262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402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1.7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1.5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d\-mmm</c:formatCode>
                <c:ptCount val="4"/>
                <c:pt idx="0" formatCode="General">
                  <c:v>1.5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604800"/>
        <c:axId val="103336768"/>
      </c:barChart>
      <c:catAx>
        <c:axId val="102604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3336768"/>
        <c:crosses val="autoZero"/>
        <c:auto val="1"/>
        <c:lblAlgn val="ctr"/>
        <c:lblOffset val="100"/>
        <c:noMultiLvlLbl val="0"/>
      </c:catAx>
      <c:valAx>
        <c:axId val="103336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604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69"/>
          <c:y val="0.25347456567929133"/>
          <c:w val="0.42777668416448072"/>
          <c:h val="0.54066960379952644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402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809536"/>
        <c:axId val="103338496"/>
      </c:barChart>
      <c:catAx>
        <c:axId val="103809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338496"/>
        <c:crosses val="autoZero"/>
        <c:auto val="1"/>
        <c:lblAlgn val="ctr"/>
        <c:lblOffset val="100"/>
        <c:noMultiLvlLbl val="0"/>
      </c:catAx>
      <c:valAx>
        <c:axId val="103338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80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69"/>
          <c:y val="0.25347456567929133"/>
          <c:w val="0.42777668416448072"/>
          <c:h val="0.54066960379952644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8256051326916E-2"/>
          <c:y val="4.4057617797775346E-2"/>
          <c:w val="0.8941889034703997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2.6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2.5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49920"/>
        <c:axId val="103340224"/>
      </c:barChart>
      <c:catAx>
        <c:axId val="103249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03340224"/>
        <c:crosses val="autoZero"/>
        <c:auto val="1"/>
        <c:lblAlgn val="ctr"/>
        <c:lblOffset val="100"/>
        <c:noMultiLvlLbl val="0"/>
      </c:catAx>
      <c:valAx>
        <c:axId val="10334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49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0277887139107713"/>
          <c:y val="0.25347456567929089"/>
          <c:w val="0.42777668416448023"/>
          <c:h val="0.540669603799526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46</cp:revision>
  <dcterms:created xsi:type="dcterms:W3CDTF">2017-02-02T03:01:00Z</dcterms:created>
  <dcterms:modified xsi:type="dcterms:W3CDTF">2017-11-29T05:03:00Z</dcterms:modified>
</cp:coreProperties>
</file>